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ind w:left="0" w:right="0" w:hanging="0"/>
        <w:jc w:val="both"/>
        <w:rPr>
          <w:sz w:val="20"/>
        </w:rPr>
      </w:pPr>
      <w:bookmarkStart w:id="0" w:name="aw_041824.htm"/>
      <w:bookmarkStart w:id="1" w:name="ksaw_041824"/>
      <w:bookmarkEnd w:id="0"/>
      <w:bookmarkEnd w:id="1"/>
      <w:r>
        <w:rPr>
          <w:sz w:val="20"/>
        </w:rPr>
        <w:t>April 22, 2024</w:t>
      </w:r>
    </w:p>
    <w:p>
      <w:pPr>
        <w:pStyle w:val="TextBody"/>
        <w:bidi w:val="0"/>
        <w:spacing w:before="0" w:after="0"/>
        <w:ind w:left="0" w:right="0" w:hanging="0"/>
        <w:jc w:val="both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b/>
          <w:sz w:val="20"/>
        </w:rPr>
      </w:pPr>
      <w:r>
        <w:rPr>
          <w:b/>
          <w:sz w:val="20"/>
        </w:rPr>
        <w:t>VIA EDGAR</w:t>
      </w:r>
    </w:p>
    <w:p>
      <w:pPr>
        <w:pStyle w:val="TextBody"/>
        <w:bidi w:val="0"/>
        <w:spacing w:before="0" w:after="0"/>
        <w:ind w:left="0" w:right="0" w:hanging="0"/>
        <w:jc w:val="both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sz w:val="20"/>
        </w:rPr>
      </w:pPr>
      <w:r>
        <w:rPr>
          <w:sz w:val="20"/>
        </w:rPr>
        <w:t>U.S. Securities and Exchange Commission</w:t>
      </w:r>
    </w:p>
    <w:p>
      <w:pPr>
        <w:pStyle w:val="TextBody"/>
        <w:bidi w:val="0"/>
        <w:spacing w:before="0" w:after="0"/>
        <w:ind w:left="0" w:right="0" w:hanging="0"/>
        <w:jc w:val="both"/>
        <w:rPr>
          <w:sz w:val="20"/>
        </w:rPr>
      </w:pPr>
      <w:r>
        <w:rPr>
          <w:sz w:val="20"/>
        </w:rPr>
        <w:t>100 F Street, N.E.</w:t>
      </w:r>
    </w:p>
    <w:p>
      <w:pPr>
        <w:pStyle w:val="TextBody"/>
        <w:bidi w:val="0"/>
        <w:spacing w:before="0" w:after="0"/>
        <w:ind w:left="0" w:right="0" w:hanging="0"/>
        <w:jc w:val="both"/>
        <w:rPr>
          <w:sz w:val="20"/>
        </w:rPr>
      </w:pPr>
      <w:r>
        <w:rPr>
          <w:sz w:val="20"/>
        </w:rPr>
        <w:t>Washington, D.C. 20549</w:t>
      </w:r>
    </w:p>
    <w:p>
      <w:pPr>
        <w:pStyle w:val="TextBody"/>
        <w:bidi w:val="0"/>
        <w:spacing w:before="0" w:after="0"/>
        <w:ind w:left="0" w:right="0" w:hanging="0"/>
        <w:jc w:val="both"/>
        <w:rPr>
          <w:sz w:val="20"/>
        </w:rPr>
      </w:pPr>
      <w:r>
        <w:rPr>
          <w:sz w:val="20"/>
        </w:rPr>
        <w:t>United States of America</w:t>
      </w:r>
    </w:p>
    <w:p>
      <w:pPr>
        <w:pStyle w:val="TextBody"/>
        <w:bidi w:val="0"/>
        <w:spacing w:before="0" w:after="0"/>
        <w:ind w:left="0" w:right="0" w:hanging="0"/>
        <w:jc w:val="both"/>
        <w:rPr/>
      </w:pPr>
      <w:r>
        <w:rPr/>
        <w:t> </w:t>
      </w:r>
    </w:p>
    <w:tbl>
      <w:tblPr>
        <w:tblW w:w="673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0"/>
        <w:gridCol w:w="6410"/>
      </w:tblGrid>
      <w:tr>
        <w:trPr/>
        <w:tc>
          <w:tcPr>
            <w:tcW w:w="32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Re:</w:t>
            </w:r>
          </w:p>
        </w:tc>
        <w:tc>
          <w:tcPr>
            <w:tcW w:w="641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72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Medicenna Therapeutics Inc.</w:t>
            </w:r>
          </w:p>
        </w:tc>
      </w:tr>
      <w:tr>
        <w:trPr/>
        <w:tc>
          <w:tcPr>
            <w:tcW w:w="32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41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72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Application for Withdrawal</w:t>
            </w:r>
          </w:p>
        </w:tc>
      </w:tr>
      <w:tr>
        <w:trPr/>
        <w:tc>
          <w:tcPr>
            <w:tcW w:w="32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41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72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Post-Effective Amendment No. 1 to Form F-3 (File No. 333-269868)</w:t>
            </w:r>
          </w:p>
        </w:tc>
      </w:tr>
      <w:tr>
        <w:trPr/>
        <w:tc>
          <w:tcPr>
            <w:tcW w:w="32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41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Filed April 16, 2024 under EDGAR code F-3/A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both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sz w:val="20"/>
        </w:rPr>
      </w:pPr>
      <w:r>
        <w:rPr>
          <w:sz w:val="20"/>
        </w:rPr>
        <w:t>Ladies and Gentlemen:</w:t>
      </w:r>
    </w:p>
    <w:p>
      <w:pPr>
        <w:pStyle w:val="TextBody"/>
        <w:bidi w:val="0"/>
        <w:spacing w:before="0" w:after="0"/>
        <w:ind w:left="0" w:right="0" w:hanging="0"/>
        <w:jc w:val="both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sz w:val="20"/>
        </w:rPr>
      </w:pPr>
      <w:r>
        <w:rPr>
          <w:sz w:val="20"/>
        </w:rPr>
        <w:t>In accordance with Rule 477(a) under the Securities Act of 1933, as amended, and as requested by the staff of the Securities and Exchange Commission (the “</w:t>
      </w:r>
      <w:r>
        <w:rPr>
          <w:b/>
          <w:sz w:val="20"/>
        </w:rPr>
        <w:t>SEC Staff</w:t>
      </w:r>
      <w:r>
        <w:rPr>
          <w:sz w:val="20"/>
        </w:rPr>
        <w:t>”), Medicenna Therapeutics Inc. (the “</w:t>
      </w:r>
      <w:r>
        <w:rPr>
          <w:b/>
          <w:sz w:val="20"/>
        </w:rPr>
        <w:t>Company</w:t>
      </w:r>
      <w:r>
        <w:rPr>
          <w:sz w:val="20"/>
        </w:rPr>
        <w:t>”) hereby respectfully requests the withdrawal of its post-effective amendment no. 1 to Form F-3 (File No. 333-269868) filed on April 16, 2024 because it was inadvertently filed under the incorrect EDGAR code for pre-effective amendments, “F-3/A”, rather than “POS AM”.</w:t>
      </w:r>
    </w:p>
    <w:p>
      <w:pPr>
        <w:pStyle w:val="TextBody"/>
        <w:bidi w:val="0"/>
        <w:spacing w:before="0" w:after="0"/>
        <w:ind w:left="0" w:right="0" w:hanging="0"/>
        <w:jc w:val="both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sz w:val="20"/>
        </w:rPr>
      </w:pPr>
      <w:r>
        <w:rPr>
          <w:sz w:val="20"/>
        </w:rPr>
        <w:t>As requested by the SEC Staff, post-effective amendment no. 1 to the Form F-3 will be re-filed under the correct EDGAR code.</w:t>
      </w:r>
    </w:p>
    <w:p>
      <w:pPr>
        <w:pStyle w:val="TextBody"/>
        <w:bidi w:val="0"/>
        <w:spacing w:before="0" w:after="0"/>
        <w:ind w:left="0" w:right="0" w:hanging="0"/>
        <w:jc w:val="both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sz w:val="20"/>
        </w:rPr>
      </w:pPr>
      <w:r>
        <w:rPr>
          <w:sz w:val="20"/>
        </w:rPr>
        <w:t>If you have any questions or require further information, please do not hesitate to contact Thomas Rose of Troutman Pepper Hamilton Sanders LLP, the Company’s outside counsel, at (757) 687-7715.</w:t>
      </w:r>
    </w:p>
    <w:p>
      <w:pPr>
        <w:pStyle w:val="TextBody"/>
        <w:bidi w:val="0"/>
        <w:spacing w:before="0" w:after="0"/>
        <w:ind w:left="0" w:right="0" w:hanging="0"/>
        <w:jc w:val="both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sz w:val="20"/>
        </w:rPr>
      </w:pPr>
      <w:r>
        <w:rPr>
          <w:sz w:val="20"/>
        </w:rPr>
        <w:t>Sincerely,</w:t>
      </w:r>
    </w:p>
    <w:p>
      <w:pPr>
        <w:pStyle w:val="TextBody"/>
        <w:bidi w:val="0"/>
        <w:spacing w:before="0" w:after="0"/>
        <w:ind w:left="0" w:right="0" w:hanging="0"/>
        <w:jc w:val="both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sz w:val="20"/>
        </w:rPr>
      </w:pPr>
      <w:r>
        <w:rPr>
          <w:sz w:val="20"/>
        </w:rPr>
        <w:t>Medicenna Therapeutics Inc.</w:t>
      </w:r>
    </w:p>
    <w:p>
      <w:pPr>
        <w:pStyle w:val="TextBody"/>
        <w:bidi w:val="0"/>
        <w:spacing w:before="0" w:after="0"/>
        <w:ind w:left="0" w:right="0" w:hanging="0"/>
        <w:jc w:val="both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sz w:val="20"/>
          <w:u w:val="single"/>
        </w:rPr>
      </w:pPr>
      <w:r>
        <w:rPr>
          <w:sz w:val="20"/>
          <w:u w:val="single"/>
        </w:rPr>
        <w:t>/s/ David Hyman                   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sz w:val="20"/>
        </w:rPr>
      </w:pPr>
      <w:r>
        <w:rPr>
          <w:sz w:val="20"/>
        </w:rPr>
        <w:t>David Hyman</w:t>
      </w:r>
    </w:p>
    <w:p>
      <w:pPr>
        <w:pStyle w:val="TextBody"/>
        <w:bidi w:val="0"/>
        <w:spacing w:before="0" w:after="0"/>
        <w:ind w:left="0" w:right="0" w:hanging="0"/>
        <w:jc w:val="both"/>
        <w:rPr>
          <w:sz w:val="20"/>
        </w:rPr>
      </w:pPr>
      <w:r>
        <w:rPr>
          <w:sz w:val="20"/>
        </w:rPr>
        <w:t>Chief Financial Officer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186</Words>
  <Characters>1026</Characters>
  <CharactersWithSpaces>1225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